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4" w:rsidRDefault="00362AA4" w:rsidP="00362AA4">
      <w:pPr>
        <w:jc w:val="center"/>
        <w:rPr>
          <w:b/>
          <w:bCs/>
          <w:sz w:val="32"/>
          <w:szCs w:val="32"/>
        </w:rPr>
      </w:pPr>
      <w:r w:rsidRPr="00362AA4">
        <w:rPr>
          <w:b/>
          <w:bCs/>
          <w:sz w:val="32"/>
          <w:szCs w:val="32"/>
        </w:rPr>
        <w:t>LEY DE PROCEDIMIENTO ADMINISTRATIVO PARA EL ESTADO DE COAHUILA DE ZARAGOZA.</w:t>
      </w:r>
    </w:p>
    <w:p w:rsidR="00362AA4" w:rsidRDefault="00362AA4" w:rsidP="00CD6AA6">
      <w:pPr>
        <w:jc w:val="both"/>
        <w:rPr>
          <w:b/>
          <w:bCs/>
          <w:sz w:val="32"/>
          <w:szCs w:val="32"/>
        </w:rPr>
      </w:pPr>
    </w:p>
    <w:p w:rsidR="00CD6AA6" w:rsidRPr="00CD6AA6" w:rsidRDefault="00CD6AA6" w:rsidP="00CD6AA6">
      <w:pPr>
        <w:jc w:val="both"/>
        <w:rPr>
          <w:b/>
          <w:bCs/>
          <w:sz w:val="32"/>
          <w:szCs w:val="32"/>
        </w:rPr>
      </w:pPr>
      <w:r w:rsidRPr="00CD6AA6">
        <w:rPr>
          <w:b/>
          <w:bCs/>
          <w:sz w:val="32"/>
          <w:szCs w:val="32"/>
        </w:rPr>
        <w:t>CAPITULO SEXTO DE LAS NOTIFICACIONES</w:t>
      </w:r>
      <w:r>
        <w:rPr>
          <w:b/>
          <w:bCs/>
          <w:sz w:val="32"/>
          <w:szCs w:val="32"/>
        </w:rPr>
        <w:t>:</w:t>
      </w:r>
    </w:p>
    <w:p w:rsidR="00CD6AA6" w:rsidRPr="00CD6AA6" w:rsidRDefault="00CD6AA6" w:rsidP="00CD6AA6">
      <w:pPr>
        <w:jc w:val="both"/>
        <w:rPr>
          <w:sz w:val="32"/>
          <w:szCs w:val="32"/>
        </w:rPr>
      </w:pPr>
      <w:r w:rsidRPr="00CD6AA6">
        <w:rPr>
          <w:sz w:val="32"/>
          <w:szCs w:val="32"/>
        </w:rPr>
        <w:t xml:space="preserve"> </w:t>
      </w:r>
    </w:p>
    <w:p w:rsidR="00284972" w:rsidRDefault="00CD6AA6" w:rsidP="00CD6AA6">
      <w:pPr>
        <w:jc w:val="both"/>
        <w:rPr>
          <w:sz w:val="32"/>
          <w:szCs w:val="32"/>
        </w:rPr>
      </w:pPr>
      <w:r w:rsidRPr="00CD6AA6">
        <w:rPr>
          <w:sz w:val="32"/>
          <w:szCs w:val="32"/>
        </w:rPr>
        <w:t xml:space="preserve">(REFORMADO, P.O. 2 DE AGOSTO DE 2013) Artículo 43. </w:t>
      </w:r>
    </w:p>
    <w:p w:rsidR="00CD6AA6" w:rsidRDefault="00284972" w:rsidP="00CD6AA6">
      <w:pPr>
        <w:jc w:val="both"/>
        <w:rPr>
          <w:sz w:val="32"/>
          <w:szCs w:val="32"/>
        </w:rPr>
      </w:pPr>
      <w:r>
        <w:rPr>
          <w:sz w:val="32"/>
          <w:szCs w:val="32"/>
        </w:rPr>
        <w:t xml:space="preserve"> </w:t>
      </w:r>
      <w:r w:rsidR="00CD6AA6" w:rsidRPr="00CD6AA6">
        <w:rPr>
          <w:sz w:val="32"/>
          <w:szCs w:val="32"/>
        </w:rPr>
        <w:t xml:space="preserve">Las notificaciones, citatorios, emplazamientos, requerimientos, solicitud de informes o documentos, las resoluciones administrativas definitivas podrán realizarse:   </w:t>
      </w:r>
    </w:p>
    <w:p w:rsidR="00443A76" w:rsidRDefault="00443A76" w:rsidP="00CD6AA6">
      <w:pPr>
        <w:jc w:val="both"/>
        <w:rPr>
          <w:sz w:val="32"/>
          <w:szCs w:val="32"/>
        </w:rPr>
      </w:pPr>
    </w:p>
    <w:p w:rsidR="00CD6AA6" w:rsidRPr="00CD6AA6" w:rsidRDefault="00CD6AA6" w:rsidP="00CD6AA6">
      <w:pPr>
        <w:pStyle w:val="Prrafodelista"/>
        <w:numPr>
          <w:ilvl w:val="0"/>
          <w:numId w:val="1"/>
        </w:numPr>
        <w:jc w:val="both"/>
        <w:rPr>
          <w:sz w:val="32"/>
          <w:szCs w:val="32"/>
        </w:rPr>
      </w:pPr>
      <w:r w:rsidRPr="00CD6AA6">
        <w:rPr>
          <w:sz w:val="32"/>
          <w:szCs w:val="32"/>
        </w:rPr>
        <w:t xml:space="preserve">Personalmente con quien deba entenderse la diligencia, en el domicilio del interesado o en el señalado para tal efecto. Sin perjuicio de que la notificación de estos actos pueda efectuarse en las oficinas de las Autoridades Administrativas competentes, si las personas a quienes deba notificarse se presentan en las mismas.  En este último caso, se asentará la razón correspondiente; </w:t>
      </w:r>
    </w:p>
    <w:p w:rsidR="00CD6AA6" w:rsidRPr="00CD6AA6" w:rsidRDefault="00CD6AA6" w:rsidP="00CD6AA6">
      <w:pPr>
        <w:pStyle w:val="Prrafodelista"/>
        <w:numPr>
          <w:ilvl w:val="0"/>
          <w:numId w:val="1"/>
        </w:numPr>
        <w:jc w:val="both"/>
        <w:rPr>
          <w:sz w:val="32"/>
          <w:szCs w:val="32"/>
        </w:rPr>
      </w:pPr>
      <w:r w:rsidRPr="00CD6AA6">
        <w:rPr>
          <w:sz w:val="32"/>
          <w:szCs w:val="32"/>
        </w:rPr>
        <w:t xml:space="preserve">Mediante oficio entregado por mensajero o correo certificado, con acuse de recibo. También podrá realizarse mediante telefax, medios de comunicación electrónica o cualquier otro medio, cuando así lo haya aceptado expresamente el promovente.    </w:t>
      </w:r>
    </w:p>
    <w:p w:rsidR="00CD6AA6" w:rsidRPr="00CD6AA6" w:rsidRDefault="00CD6AA6" w:rsidP="00CD6AA6">
      <w:pPr>
        <w:jc w:val="both"/>
        <w:rPr>
          <w:sz w:val="32"/>
          <w:szCs w:val="32"/>
        </w:rPr>
      </w:pPr>
      <w:r w:rsidRPr="00CD6AA6">
        <w:rPr>
          <w:sz w:val="32"/>
          <w:szCs w:val="32"/>
        </w:rPr>
        <w:t xml:space="preserve"> </w:t>
      </w:r>
      <w:bookmarkStart w:id="0" w:name="_GoBack"/>
      <w:bookmarkEnd w:id="0"/>
      <w:r w:rsidRPr="00CD6AA6">
        <w:rPr>
          <w:sz w:val="32"/>
          <w:szCs w:val="32"/>
        </w:rPr>
        <w:t xml:space="preserve">III.  Por edicto, cuando se desconozca el domicilio del interesado o en su caso de que la persona a quien deba notificarse haya desaparecido, se ignore su domicilio o se encuentre en el extranjero sin haber dejado representante legal.    Tratándose de actos distintos a los señalados anteriormente, las notificaciones podrán realizarse </w:t>
      </w:r>
      <w:r w:rsidRPr="00CD6AA6">
        <w:rPr>
          <w:sz w:val="32"/>
          <w:szCs w:val="32"/>
        </w:rPr>
        <w:lastRenderedPageBreak/>
        <w:t xml:space="preserve">por correo ordinario, mensajería, telegrama o, previa solicitud por escrito del interesado, a través de telefax, medios de comunicación electrónica u otro medio similar, previa solicitud por escrito del interesado o en las oficinas de las Autoridades Administrativas, si se presentan las personas que han de recibirlas.    Salvo cuando exista impedimento jurídico para hacerlo, la resolución administrativa definitiva podrá notificarse al interesado por medio de correo certificado o mensajería, en ambos casos con acuse de recibo, siempre y cuando los solicitantes hayan adjuntado al promover el trámite el comprobante de pago del servicio respectivo.  </w:t>
      </w:r>
    </w:p>
    <w:p w:rsidR="00CD6AA6" w:rsidRDefault="00CD6AA6" w:rsidP="00CD6AA6">
      <w:pPr>
        <w:jc w:val="both"/>
        <w:rPr>
          <w:sz w:val="32"/>
          <w:szCs w:val="32"/>
        </w:rPr>
      </w:pPr>
      <w:r w:rsidRPr="00CD6AA6">
        <w:rPr>
          <w:sz w:val="32"/>
          <w:szCs w:val="32"/>
        </w:rPr>
        <w:t xml:space="preserve"> (REFORMADO, P.O. 2 DE AGOSTO DE 2013)</w:t>
      </w:r>
      <w:r>
        <w:rPr>
          <w:sz w:val="32"/>
          <w:szCs w:val="32"/>
        </w:rPr>
        <w:t xml:space="preserve">. </w:t>
      </w:r>
    </w:p>
    <w:p w:rsidR="00CD6AA6" w:rsidRPr="00CD6AA6" w:rsidRDefault="00CD6AA6" w:rsidP="00CD6AA6">
      <w:pPr>
        <w:jc w:val="both"/>
        <w:rPr>
          <w:sz w:val="32"/>
          <w:szCs w:val="32"/>
        </w:rPr>
      </w:pPr>
      <w:r w:rsidRPr="00CD6AA6">
        <w:rPr>
          <w:b/>
          <w:bCs/>
          <w:sz w:val="32"/>
          <w:szCs w:val="32"/>
          <w:highlight w:val="yellow"/>
        </w:rPr>
        <w:t>Artículo 44.</w:t>
      </w:r>
      <w:r w:rsidRPr="00CD6AA6">
        <w:rPr>
          <w:sz w:val="32"/>
          <w:szCs w:val="32"/>
          <w:highlight w:val="yellow"/>
        </w:rPr>
        <w:t xml:space="preserve"> Las notificaciones personales se harán en el domicilio del interesado o en su caso en aquel que haya señalado el interesado en el lugar donde se encuentren las Autoridades Administrativas o bien, personalmente en el recinto oficial de éstas, cuando comparezcan voluntariamente a recibirlas.  En los dos primeros casos, el notificador deberá cerciorarse que se trata del domicilio del interesado o del designado para esos efectos y deberá entregar el original del acto que se notifique y copia de la constancia de notificación respectiva, así como señalar la fecha y hora en que la notificación se efectúa, recabando el nombre y firma de la persona con quien se entienda la diligencia. Si ésta se niega, se hará constar en el acta de notificación, sin que ello afecte su validez.    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con el vecino más inmediato.    Si la persona a quien haya de notificarse no atendiere el citatorio, la notificación se entenderá con </w:t>
      </w:r>
      <w:r w:rsidRPr="00CD6AA6">
        <w:rPr>
          <w:sz w:val="32"/>
          <w:szCs w:val="32"/>
          <w:highlight w:val="yellow"/>
        </w:rPr>
        <w:lastRenderedPageBreak/>
        <w:t>cualquier persona que se encuentre en el domicilio en que se realice la diligencia y, de negarse ésta a recibirla o en su caso de encontrarse cerrado el domicilio, se realizará por instructivo que se fijará en un lugar visible del domicilio.    De las diligencias en que conste la notificación, el notificador tomará razón por escrito.    Cuando las leyes respectivas así lo determinen o se desconozca el domicilio de los titulares de los derechos afectados, tendrá efectos de notificación personal la segunda publicación del acto respectivo en el Periódico Oficial del Gobierno del Estado y en uno de los periódicos de mayor circulación en el lugar donde se deba de efectuar dicha notificación.</w:t>
      </w:r>
      <w:r w:rsidRPr="00CD6AA6">
        <w:rPr>
          <w:sz w:val="32"/>
          <w:szCs w:val="32"/>
        </w:rPr>
        <w:t xml:space="preserve">  </w:t>
      </w:r>
    </w:p>
    <w:p w:rsidR="00CD6AA6" w:rsidRDefault="00CD6AA6" w:rsidP="00CD6AA6">
      <w:pPr>
        <w:jc w:val="both"/>
        <w:rPr>
          <w:sz w:val="32"/>
          <w:szCs w:val="32"/>
        </w:rPr>
      </w:pPr>
      <w:r w:rsidRPr="00CD6AA6">
        <w:rPr>
          <w:sz w:val="32"/>
          <w:szCs w:val="32"/>
        </w:rPr>
        <w:t xml:space="preserve"> (ADICIONADO, P.O. 2 DE AGOSTO DE 2013) Artículo 44 Bis.- Los particulares deberán señalar domicilio en la ciudad en la que se encuentre la autoridad administrativa correspondiente, misma que deberá así requerirlo al interesado, para que en él se hagan las notificaciones personales indicadas en esta ley así como notificar a la autoridad el cambio del mismo. En caso de no cumplir con esta obligación, las notificaciones que deban ser personales se harán por cualquier medio señalado en el artículo 43 fracción II de la presente Ley.  </w:t>
      </w:r>
    </w:p>
    <w:p w:rsidR="00CD6AA6" w:rsidRPr="00CD6AA6" w:rsidRDefault="00CD6AA6" w:rsidP="00CD6AA6">
      <w:pPr>
        <w:jc w:val="both"/>
        <w:rPr>
          <w:sz w:val="32"/>
          <w:szCs w:val="32"/>
        </w:rPr>
      </w:pPr>
      <w:r w:rsidRPr="00CD6AA6">
        <w:rPr>
          <w:b/>
          <w:bCs/>
          <w:sz w:val="32"/>
          <w:szCs w:val="32"/>
        </w:rPr>
        <w:t>Artículo 45.</w:t>
      </w:r>
      <w:r w:rsidRPr="00CD6AA6">
        <w:rPr>
          <w:sz w:val="32"/>
          <w:szCs w:val="32"/>
        </w:rPr>
        <w:t xml:space="preserve"> Las notificaciones por edictos se realizarán haciendo publicaciones que contendrán un resumen de las resoluciones por notificar. Dichas publicaciones deberán efectuarse por tres días consecutivos en el Periódico Oficial del Gobierno del Estado y en uno de los periódicos de mayor circulación en el lugar donde se lleve a cabo el procedimiento administrativo del que se deriva dicha notificación.  </w:t>
      </w:r>
    </w:p>
    <w:p w:rsidR="00362AA4" w:rsidRDefault="00362AA4" w:rsidP="00CD6AA6">
      <w:pPr>
        <w:jc w:val="both"/>
        <w:rPr>
          <w:b/>
          <w:bCs/>
          <w:sz w:val="32"/>
          <w:szCs w:val="32"/>
        </w:rPr>
      </w:pPr>
    </w:p>
    <w:p w:rsidR="00CD6AA6" w:rsidRPr="00CD6AA6" w:rsidRDefault="00CD6AA6" w:rsidP="00CD6AA6">
      <w:pPr>
        <w:jc w:val="both"/>
        <w:rPr>
          <w:sz w:val="32"/>
          <w:szCs w:val="32"/>
        </w:rPr>
      </w:pPr>
      <w:r w:rsidRPr="00CD6AA6">
        <w:rPr>
          <w:b/>
          <w:bCs/>
          <w:sz w:val="32"/>
          <w:szCs w:val="32"/>
        </w:rPr>
        <w:lastRenderedPageBreak/>
        <w:t>Artículo 46.</w:t>
      </w:r>
      <w:r w:rsidRPr="00CD6AA6">
        <w:rPr>
          <w:sz w:val="32"/>
          <w:szCs w:val="32"/>
        </w:rPr>
        <w:t xml:space="preserve"> Las notificaciones personales surtirán sus efectos el día en que hubieren sido realizadas. Los plazos empezarán a correr a partir del día siguiente a aquel en que haya surtido efectos la notificación. </w:t>
      </w:r>
    </w:p>
    <w:p w:rsidR="00CD6AA6" w:rsidRPr="00CD6AA6" w:rsidRDefault="00CD6AA6" w:rsidP="00CD6AA6">
      <w:pPr>
        <w:jc w:val="both"/>
        <w:rPr>
          <w:sz w:val="32"/>
          <w:szCs w:val="32"/>
        </w:rPr>
      </w:pPr>
      <w:r w:rsidRPr="00CD6AA6">
        <w:rPr>
          <w:sz w:val="32"/>
          <w:szCs w:val="32"/>
        </w:rPr>
        <w:t xml:space="preserve"> Se tendrá como fecha de notificación por correo certificado la que conste en el acuse de recibo. </w:t>
      </w:r>
    </w:p>
    <w:p w:rsidR="00CD6AA6" w:rsidRPr="00CD6AA6" w:rsidRDefault="00CD6AA6" w:rsidP="00CD6AA6">
      <w:pPr>
        <w:jc w:val="both"/>
        <w:rPr>
          <w:sz w:val="32"/>
          <w:szCs w:val="32"/>
        </w:rPr>
      </w:pPr>
      <w:r w:rsidRPr="00CD6AA6">
        <w:rPr>
          <w:sz w:val="32"/>
          <w:szCs w:val="32"/>
        </w:rPr>
        <w:t xml:space="preserve">En las notificaciones por edictos se tendrá como fecha de notificación la de la última publicación en el Periódico Oficial del Gobierno del Estado y en uno de los periódicos diarios de mayor circulación en el lugar donde se lleve a cabo el procedimiento administrativo del que se deriva dicha notificación.  </w:t>
      </w:r>
    </w:p>
    <w:p w:rsidR="00EA1D39" w:rsidRDefault="00CD6AA6" w:rsidP="00CD6AA6">
      <w:pPr>
        <w:jc w:val="both"/>
        <w:rPr>
          <w:sz w:val="32"/>
          <w:szCs w:val="32"/>
        </w:rPr>
      </w:pPr>
      <w:r w:rsidRPr="00362AA4">
        <w:rPr>
          <w:b/>
          <w:bCs/>
          <w:sz w:val="32"/>
          <w:szCs w:val="32"/>
          <w:highlight w:val="yellow"/>
        </w:rPr>
        <w:t>Artículo 47</w:t>
      </w:r>
      <w:r w:rsidRPr="00362AA4">
        <w:rPr>
          <w:sz w:val="32"/>
          <w:szCs w:val="32"/>
          <w:highlight w:val="yellow"/>
        </w:rPr>
        <w:t>. Toda notificación deberá efectuarse en el plazo máximo de diez días, a partir de la emisión de la resolución o acto que se notifique, y deberá contener el texto íntegro del acto, así como el fundamento legal en que se apoye con la indicación si es o no definitivo en la vía administrativa, y en su caso, la expresión del recurso administrativo que contra la misma proceda, órgano ante el cual hubiera de presentarse y plazo para su interposición.</w:t>
      </w:r>
      <w:r w:rsidRPr="00CD6AA6">
        <w:rPr>
          <w:sz w:val="32"/>
          <w:szCs w:val="32"/>
        </w:rPr>
        <w:t xml:space="preserve">  </w:t>
      </w:r>
    </w:p>
    <w:p w:rsidR="00284972" w:rsidRDefault="00284972" w:rsidP="00CD6AA6">
      <w:pPr>
        <w:jc w:val="both"/>
        <w:rPr>
          <w:sz w:val="32"/>
          <w:szCs w:val="32"/>
        </w:rPr>
      </w:pPr>
    </w:p>
    <w:p w:rsidR="00685913" w:rsidRPr="001B4E72" w:rsidRDefault="00685913" w:rsidP="00685913">
      <w:pPr>
        <w:jc w:val="both"/>
        <w:rPr>
          <w:b/>
          <w:bCs/>
          <w:sz w:val="32"/>
          <w:szCs w:val="32"/>
        </w:rPr>
      </w:pPr>
      <w:r w:rsidRPr="001B4E72">
        <w:rPr>
          <w:b/>
          <w:bCs/>
          <w:sz w:val="32"/>
          <w:szCs w:val="32"/>
        </w:rPr>
        <w:t xml:space="preserve">Época: Décima Época </w:t>
      </w:r>
    </w:p>
    <w:p w:rsidR="00685913" w:rsidRPr="001B4E72" w:rsidRDefault="00685913" w:rsidP="00685913">
      <w:pPr>
        <w:jc w:val="both"/>
        <w:rPr>
          <w:b/>
          <w:bCs/>
          <w:sz w:val="32"/>
          <w:szCs w:val="32"/>
        </w:rPr>
      </w:pPr>
      <w:r w:rsidRPr="001B4E72">
        <w:rPr>
          <w:b/>
          <w:bCs/>
          <w:sz w:val="32"/>
          <w:szCs w:val="32"/>
        </w:rPr>
        <w:t xml:space="preserve">Registro: 2019469 </w:t>
      </w:r>
    </w:p>
    <w:p w:rsidR="00685913" w:rsidRPr="001B4E72" w:rsidRDefault="00685913" w:rsidP="00685913">
      <w:pPr>
        <w:jc w:val="both"/>
        <w:rPr>
          <w:b/>
          <w:bCs/>
          <w:sz w:val="32"/>
          <w:szCs w:val="32"/>
        </w:rPr>
      </w:pPr>
      <w:r w:rsidRPr="001B4E72">
        <w:rPr>
          <w:b/>
          <w:bCs/>
          <w:sz w:val="32"/>
          <w:szCs w:val="32"/>
        </w:rPr>
        <w:t xml:space="preserve">Instancia: Tribunales Colegiados de Circuito </w:t>
      </w:r>
    </w:p>
    <w:p w:rsidR="00685913" w:rsidRPr="001B4E72" w:rsidRDefault="00685913" w:rsidP="00685913">
      <w:pPr>
        <w:jc w:val="both"/>
        <w:rPr>
          <w:b/>
          <w:bCs/>
          <w:sz w:val="32"/>
          <w:szCs w:val="32"/>
        </w:rPr>
      </w:pPr>
      <w:r w:rsidRPr="001B4E72">
        <w:rPr>
          <w:b/>
          <w:bCs/>
          <w:sz w:val="32"/>
          <w:szCs w:val="32"/>
        </w:rPr>
        <w:t xml:space="preserve">Tipo de Tesis: Aislada </w:t>
      </w:r>
    </w:p>
    <w:p w:rsidR="00685913" w:rsidRPr="001B4E72" w:rsidRDefault="00685913" w:rsidP="00685913">
      <w:pPr>
        <w:jc w:val="both"/>
        <w:rPr>
          <w:b/>
          <w:bCs/>
          <w:sz w:val="32"/>
          <w:szCs w:val="32"/>
        </w:rPr>
      </w:pPr>
      <w:r w:rsidRPr="001B4E72">
        <w:rPr>
          <w:b/>
          <w:bCs/>
          <w:sz w:val="32"/>
          <w:szCs w:val="32"/>
        </w:rPr>
        <w:t xml:space="preserve">Fuente: Gaceta del Semanario Judicial de la Federación </w:t>
      </w:r>
    </w:p>
    <w:p w:rsidR="00685913" w:rsidRPr="001B4E72" w:rsidRDefault="00685913" w:rsidP="00685913">
      <w:pPr>
        <w:jc w:val="both"/>
        <w:rPr>
          <w:b/>
          <w:bCs/>
          <w:sz w:val="32"/>
          <w:szCs w:val="32"/>
        </w:rPr>
      </w:pPr>
      <w:r w:rsidRPr="001B4E72">
        <w:rPr>
          <w:b/>
          <w:bCs/>
          <w:sz w:val="32"/>
          <w:szCs w:val="32"/>
        </w:rPr>
        <w:t xml:space="preserve">Libro 64, Marzo de 2019, Tomo III </w:t>
      </w:r>
    </w:p>
    <w:p w:rsidR="00685913" w:rsidRPr="001B4E72" w:rsidRDefault="00685913" w:rsidP="00685913">
      <w:pPr>
        <w:jc w:val="both"/>
        <w:rPr>
          <w:b/>
          <w:bCs/>
          <w:sz w:val="32"/>
          <w:szCs w:val="32"/>
        </w:rPr>
      </w:pPr>
      <w:r w:rsidRPr="001B4E72">
        <w:rPr>
          <w:b/>
          <w:bCs/>
          <w:sz w:val="32"/>
          <w:szCs w:val="32"/>
        </w:rPr>
        <w:t xml:space="preserve">Materia(s): Constitucional, Administrativa, Administrativa </w:t>
      </w:r>
    </w:p>
    <w:p w:rsidR="00685913" w:rsidRPr="001B4E72" w:rsidRDefault="00685913" w:rsidP="00685913">
      <w:pPr>
        <w:jc w:val="both"/>
        <w:rPr>
          <w:b/>
          <w:bCs/>
          <w:sz w:val="32"/>
          <w:szCs w:val="32"/>
        </w:rPr>
      </w:pPr>
      <w:r w:rsidRPr="001B4E72">
        <w:rPr>
          <w:b/>
          <w:bCs/>
          <w:sz w:val="32"/>
          <w:szCs w:val="32"/>
        </w:rPr>
        <w:lastRenderedPageBreak/>
        <w:t xml:space="preserve">Tesis: I.4o.A.156 A (10a.) </w:t>
      </w:r>
    </w:p>
    <w:p w:rsidR="00685913" w:rsidRPr="001B4E72" w:rsidRDefault="00685913" w:rsidP="00685913">
      <w:pPr>
        <w:jc w:val="both"/>
        <w:rPr>
          <w:b/>
          <w:bCs/>
          <w:sz w:val="32"/>
          <w:szCs w:val="32"/>
        </w:rPr>
      </w:pPr>
      <w:r w:rsidRPr="001B4E72">
        <w:rPr>
          <w:b/>
          <w:bCs/>
          <w:sz w:val="32"/>
          <w:szCs w:val="32"/>
        </w:rPr>
        <w:t xml:space="preserve">Página: 2784 </w:t>
      </w:r>
    </w:p>
    <w:p w:rsidR="00685913" w:rsidRPr="001B4E72" w:rsidRDefault="00685913" w:rsidP="00685913">
      <w:pPr>
        <w:jc w:val="both"/>
        <w:rPr>
          <w:b/>
          <w:bCs/>
          <w:sz w:val="32"/>
          <w:szCs w:val="32"/>
        </w:rPr>
      </w:pPr>
    </w:p>
    <w:p w:rsidR="00685913" w:rsidRPr="001B4E72" w:rsidRDefault="00685913" w:rsidP="00685913">
      <w:pPr>
        <w:jc w:val="both"/>
        <w:rPr>
          <w:b/>
          <w:bCs/>
          <w:sz w:val="32"/>
          <w:szCs w:val="32"/>
        </w:rPr>
      </w:pPr>
      <w:r w:rsidRPr="001B4E72">
        <w:rPr>
          <w:b/>
          <w:bCs/>
          <w:sz w:val="32"/>
          <w:szCs w:val="32"/>
        </w:rPr>
        <w:t>RESPONSABILIDADES ADMINISTRATIVAS DE LOS SERVIDORES PÚBLICOS. CONDICIONES QUE DEBEN SATISFACER LAS LEYES RELATIVAS, EN RELACIÓN CON LOS ASPECTOS DE TAXATIVIDAD EN EL DERECHO ADMINISTRATIVO SANCIONADOR.</w:t>
      </w:r>
    </w:p>
    <w:p w:rsidR="00685913" w:rsidRPr="00685913" w:rsidRDefault="00685913" w:rsidP="00685913">
      <w:pPr>
        <w:jc w:val="both"/>
        <w:rPr>
          <w:sz w:val="32"/>
          <w:szCs w:val="32"/>
        </w:rPr>
      </w:pPr>
    </w:p>
    <w:p w:rsidR="00685913" w:rsidRPr="00685913" w:rsidRDefault="00685913" w:rsidP="00685913">
      <w:pPr>
        <w:jc w:val="both"/>
        <w:rPr>
          <w:sz w:val="32"/>
          <w:szCs w:val="32"/>
        </w:rPr>
      </w:pPr>
      <w:r w:rsidRPr="00685913">
        <w:rPr>
          <w:sz w:val="32"/>
          <w:szCs w:val="32"/>
        </w:rPr>
        <w:t xml:space="preserve">En el ámbito del derecho administrativo sancionador, en especial, en lo concerniente a los aspectos de taxatividad, basta que el núcleo esencial o básico de la conducta reprochada como falta esté previsto en la ley, siendo innecesaria o superflua la remisión a regulaciones administrativas, como por ejemplo, los manuales de organización, para que se cumpla con el principio de legalidad y dicha norma sea de observancia obligatoria. Ello se debe a que el mandato de tipificación es una fórmula técnica que integra las condiciones de previsión y certeza de la disposición legal, a efecto de que las infracciones y las sanciones no sólo estén previstas con anterioridad a que se produzca la conducta enjuiciable (lex previa), sino que esa descripción tenga un grado de precisión tal (lex certa), que incluya: i) las conductas; ii) las sanciones, así como iii) la metodología para aplicarlas, expuestas con un grado de precisión que prive al operador jurídico de cualquier veleidad, creativa, analógica o simplemente desviada de la letra de la ley. Por tanto, en materia de responsabilidades administrativas de los servidores públicos, es innecesario que las leyes relativas contengan exactamente la conducta infractora, pues basta con que sean idóneas para predecir, con suficiente grado de seguridad esa conducta, las sanciones correspondientes y las condiciones para su individualización. Todo </w:t>
      </w:r>
      <w:r w:rsidRPr="00685913">
        <w:rPr>
          <w:sz w:val="32"/>
          <w:szCs w:val="32"/>
        </w:rPr>
        <w:lastRenderedPageBreak/>
        <w:t>esto, en el entendido de que respondan y sean pertinentes para la observancia de los principios constitucionales inherentes al desempeño de los servidores públicos, de legalidad, honradez, lealtad, imparcialidad y eficiencia, previstos en el artículo 109, fracción III, de la Constitución Política de los Estados Unidos Mexicanos.</w:t>
      </w:r>
    </w:p>
    <w:p w:rsidR="00685913" w:rsidRPr="00DE4886" w:rsidRDefault="00685913" w:rsidP="00685913">
      <w:pPr>
        <w:jc w:val="both"/>
        <w:rPr>
          <w:b/>
          <w:bCs/>
          <w:sz w:val="32"/>
          <w:szCs w:val="32"/>
        </w:rPr>
      </w:pPr>
      <w:r w:rsidRPr="00DE4886">
        <w:rPr>
          <w:b/>
          <w:bCs/>
          <w:sz w:val="32"/>
          <w:szCs w:val="32"/>
        </w:rPr>
        <w:t>CUARTO TRIBUNAL COLEGIADO EN MATERIA ADMINISTRATIVA DEL PRIMER CIRCUITO.</w:t>
      </w:r>
    </w:p>
    <w:p w:rsidR="00685913" w:rsidRPr="00685913" w:rsidRDefault="00685913" w:rsidP="00685913">
      <w:pPr>
        <w:jc w:val="both"/>
        <w:rPr>
          <w:sz w:val="32"/>
          <w:szCs w:val="32"/>
        </w:rPr>
      </w:pPr>
      <w:r w:rsidRPr="00685913">
        <w:rPr>
          <w:sz w:val="32"/>
          <w:szCs w:val="32"/>
        </w:rPr>
        <w:t>Revisión administrativa (Ley Federal de Procedimiento Contencioso Administrativo) 2/2018. Titular de la Unidad de Asuntos Jurídicos de la Secretaría de la Función Pública, encargado de la defensa jurídica del titular del Área de Responsabilidades del Órgano Interno de Control en el Instituto Nacional de Investigaciones Forestales, Agrícolas y Pecuarias. 29 de noviembre de 2018. Unanimidad de votos. Ponente: Jesús Antonio Nazar Sevilla. Secretario: Oswaldo Iván de León Carrillo.</w:t>
      </w:r>
    </w:p>
    <w:p w:rsidR="00685913" w:rsidRPr="00685913" w:rsidRDefault="00685913" w:rsidP="00685913">
      <w:pPr>
        <w:jc w:val="both"/>
        <w:rPr>
          <w:sz w:val="32"/>
          <w:szCs w:val="32"/>
        </w:rPr>
      </w:pPr>
      <w:r w:rsidRPr="00685913">
        <w:rPr>
          <w:sz w:val="32"/>
          <w:szCs w:val="32"/>
        </w:rPr>
        <w:t>Esta tesis se publicó el viernes 08 de marzo de 2019 a las 10:11 horas en el Semanario Judicial de la Federación.</w:t>
      </w:r>
    </w:p>
    <w:p w:rsidR="00284972" w:rsidRPr="00CD6AA6" w:rsidRDefault="00284972" w:rsidP="00CD6AA6">
      <w:pPr>
        <w:jc w:val="both"/>
        <w:rPr>
          <w:sz w:val="32"/>
          <w:szCs w:val="32"/>
        </w:rPr>
      </w:pPr>
    </w:p>
    <w:sectPr w:rsidR="00284972" w:rsidRPr="00CD6A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2A58"/>
    <w:multiLevelType w:val="hybridMultilevel"/>
    <w:tmpl w:val="6BE6BCF0"/>
    <w:lvl w:ilvl="0" w:tplc="C2CA4D6A">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A6"/>
    <w:rsid w:val="000F3D99"/>
    <w:rsid w:val="001B4E72"/>
    <w:rsid w:val="00284972"/>
    <w:rsid w:val="00362AA4"/>
    <w:rsid w:val="00443A76"/>
    <w:rsid w:val="00685913"/>
    <w:rsid w:val="00BB47E5"/>
    <w:rsid w:val="00BD2207"/>
    <w:rsid w:val="00CD6AA6"/>
    <w:rsid w:val="00DE4886"/>
    <w:rsid w:val="00F14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DF0E"/>
  <w15:chartTrackingRefBased/>
  <w15:docId w15:val="{FCD2035C-58E6-4A1D-A28D-ABAC57A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3</cp:revision>
  <dcterms:created xsi:type="dcterms:W3CDTF">2019-09-26T18:52:00Z</dcterms:created>
  <dcterms:modified xsi:type="dcterms:W3CDTF">2019-10-24T16:33:00Z</dcterms:modified>
</cp:coreProperties>
</file>