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4B" w:rsidRPr="002B7FB1" w:rsidRDefault="00FA464B" w:rsidP="00FA464B">
      <w:pPr>
        <w:jc w:val="both"/>
        <w:rPr>
          <w:b/>
          <w:bCs/>
          <w:sz w:val="24"/>
          <w:szCs w:val="24"/>
        </w:rPr>
      </w:pPr>
      <w:r w:rsidRPr="002B7FB1">
        <w:rPr>
          <w:b/>
          <w:bCs/>
          <w:sz w:val="24"/>
          <w:szCs w:val="24"/>
        </w:rPr>
        <w:t xml:space="preserve">Época: Décima Época </w:t>
      </w:r>
    </w:p>
    <w:p w:rsidR="00FA464B" w:rsidRPr="002B7FB1" w:rsidRDefault="00FA464B" w:rsidP="00FA464B">
      <w:pPr>
        <w:jc w:val="both"/>
        <w:rPr>
          <w:b/>
          <w:bCs/>
          <w:sz w:val="24"/>
          <w:szCs w:val="24"/>
        </w:rPr>
      </w:pPr>
      <w:r w:rsidRPr="002B7FB1">
        <w:rPr>
          <w:b/>
          <w:bCs/>
          <w:sz w:val="24"/>
          <w:szCs w:val="24"/>
        </w:rPr>
        <w:t xml:space="preserve">Registro: 2020478 </w:t>
      </w:r>
    </w:p>
    <w:p w:rsidR="00FA464B" w:rsidRPr="002B7FB1" w:rsidRDefault="00FA464B" w:rsidP="00FA464B">
      <w:pPr>
        <w:jc w:val="both"/>
        <w:rPr>
          <w:b/>
          <w:bCs/>
          <w:sz w:val="24"/>
          <w:szCs w:val="24"/>
        </w:rPr>
      </w:pPr>
      <w:r w:rsidRPr="002B7FB1">
        <w:rPr>
          <w:b/>
          <w:bCs/>
          <w:sz w:val="24"/>
          <w:szCs w:val="24"/>
        </w:rPr>
        <w:t xml:space="preserve">Instancia: Tribunales Colegiados de Circuito </w:t>
      </w:r>
    </w:p>
    <w:p w:rsidR="00FA464B" w:rsidRPr="002B7FB1" w:rsidRDefault="00FA464B" w:rsidP="00FA464B">
      <w:pPr>
        <w:jc w:val="both"/>
        <w:rPr>
          <w:b/>
          <w:bCs/>
          <w:sz w:val="24"/>
          <w:szCs w:val="24"/>
        </w:rPr>
      </w:pPr>
      <w:r w:rsidRPr="002B7FB1">
        <w:rPr>
          <w:b/>
          <w:bCs/>
          <w:sz w:val="24"/>
          <w:szCs w:val="24"/>
        </w:rPr>
        <w:t xml:space="preserve">Tipo de Tesis: Aislada </w:t>
      </w:r>
    </w:p>
    <w:p w:rsidR="00FA464B" w:rsidRPr="002B7FB1" w:rsidRDefault="00FA464B" w:rsidP="00FA464B">
      <w:pPr>
        <w:jc w:val="both"/>
        <w:rPr>
          <w:b/>
          <w:bCs/>
          <w:sz w:val="24"/>
          <w:szCs w:val="24"/>
        </w:rPr>
      </w:pPr>
      <w:r w:rsidRPr="002B7FB1">
        <w:rPr>
          <w:b/>
          <w:bCs/>
          <w:sz w:val="24"/>
          <w:szCs w:val="24"/>
        </w:rPr>
        <w:t xml:space="preserve">Fuente: Gaceta del Semanario Judicial de la Federación </w:t>
      </w:r>
    </w:p>
    <w:p w:rsidR="00FA464B" w:rsidRPr="002B7FB1" w:rsidRDefault="00FA464B" w:rsidP="00FA464B">
      <w:pPr>
        <w:jc w:val="both"/>
        <w:rPr>
          <w:b/>
          <w:bCs/>
          <w:sz w:val="24"/>
          <w:szCs w:val="24"/>
        </w:rPr>
      </w:pPr>
      <w:r w:rsidRPr="002B7FB1">
        <w:rPr>
          <w:b/>
          <w:bCs/>
          <w:sz w:val="24"/>
          <w:szCs w:val="24"/>
        </w:rPr>
        <w:t xml:space="preserve">Libro 69, </w:t>
      </w:r>
      <w:proofErr w:type="gramStart"/>
      <w:r w:rsidRPr="002B7FB1">
        <w:rPr>
          <w:b/>
          <w:bCs/>
          <w:sz w:val="24"/>
          <w:szCs w:val="24"/>
        </w:rPr>
        <w:t>Agosto</w:t>
      </w:r>
      <w:proofErr w:type="gramEnd"/>
      <w:r w:rsidRPr="002B7FB1">
        <w:rPr>
          <w:b/>
          <w:bCs/>
          <w:sz w:val="24"/>
          <w:szCs w:val="24"/>
        </w:rPr>
        <w:t xml:space="preserve"> de 2019, Tomo IV </w:t>
      </w:r>
    </w:p>
    <w:p w:rsidR="00FA464B" w:rsidRPr="002B7FB1" w:rsidRDefault="00FA464B" w:rsidP="00FA464B">
      <w:pPr>
        <w:jc w:val="both"/>
        <w:rPr>
          <w:b/>
          <w:bCs/>
          <w:sz w:val="24"/>
          <w:szCs w:val="24"/>
        </w:rPr>
      </w:pPr>
      <w:r w:rsidRPr="002B7FB1">
        <w:rPr>
          <w:b/>
          <w:bCs/>
          <w:sz w:val="24"/>
          <w:szCs w:val="24"/>
        </w:rPr>
        <w:t xml:space="preserve">Materia(s): Administrativa </w:t>
      </w:r>
    </w:p>
    <w:p w:rsidR="00FA464B" w:rsidRPr="002B7FB1" w:rsidRDefault="00FA464B" w:rsidP="00FA464B">
      <w:pPr>
        <w:jc w:val="both"/>
        <w:rPr>
          <w:b/>
          <w:bCs/>
          <w:sz w:val="24"/>
          <w:szCs w:val="24"/>
        </w:rPr>
      </w:pPr>
      <w:r w:rsidRPr="002B7FB1">
        <w:rPr>
          <w:b/>
          <w:bCs/>
          <w:sz w:val="24"/>
          <w:szCs w:val="24"/>
        </w:rPr>
        <w:t xml:space="preserve">Tesis: III.5o.A.80 A (10a.) </w:t>
      </w:r>
    </w:p>
    <w:p w:rsidR="00FA464B" w:rsidRPr="002B7FB1" w:rsidRDefault="00FA464B" w:rsidP="00FA464B">
      <w:pPr>
        <w:jc w:val="both"/>
        <w:rPr>
          <w:b/>
          <w:bCs/>
          <w:sz w:val="24"/>
          <w:szCs w:val="24"/>
        </w:rPr>
      </w:pPr>
      <w:r w:rsidRPr="002B7FB1">
        <w:rPr>
          <w:b/>
          <w:bCs/>
          <w:sz w:val="24"/>
          <w:szCs w:val="24"/>
        </w:rPr>
        <w:t xml:space="preserve">Página: 4615 </w:t>
      </w:r>
    </w:p>
    <w:p w:rsidR="00FA464B" w:rsidRPr="002B7FB1" w:rsidRDefault="00FA464B" w:rsidP="00FA464B">
      <w:pPr>
        <w:jc w:val="both"/>
        <w:rPr>
          <w:b/>
          <w:bCs/>
          <w:sz w:val="24"/>
          <w:szCs w:val="24"/>
        </w:rPr>
      </w:pPr>
    </w:p>
    <w:p w:rsidR="00FA464B" w:rsidRPr="002B7FB1" w:rsidRDefault="00FA464B" w:rsidP="00FA464B">
      <w:pPr>
        <w:jc w:val="both"/>
        <w:rPr>
          <w:b/>
          <w:bCs/>
          <w:sz w:val="24"/>
          <w:szCs w:val="24"/>
        </w:rPr>
      </w:pPr>
      <w:r w:rsidRPr="002B7FB1">
        <w:rPr>
          <w:b/>
          <w:bCs/>
          <w:sz w:val="24"/>
          <w:szCs w:val="24"/>
        </w:rPr>
        <w:t>PROCEDIMIENTO RELATIVO A LA PRESUNCIÓN DE INEXISTENCIA DE OPERACIONES, PREVISTO EN EL ARTÍCULO 69-B DEL CÓDIGO FISCAL DE LA FEDERACIÓN. ES IMPROCEDENTE EL JUICIO CONTENCIOSO ADMINISTRATIVO CONTRA EL OFICIO EN EL QUE SE INFORMA AL CONTRIBUYENTE SU INICIO.</w:t>
      </w:r>
    </w:p>
    <w:p w:rsidR="002B7FB1" w:rsidRDefault="002B7FB1" w:rsidP="00FA464B">
      <w:pPr>
        <w:jc w:val="both"/>
        <w:rPr>
          <w:sz w:val="28"/>
          <w:szCs w:val="28"/>
        </w:rPr>
      </w:pPr>
    </w:p>
    <w:p w:rsidR="00FA464B" w:rsidRPr="00FA464B" w:rsidRDefault="00FA464B" w:rsidP="00FA464B">
      <w:pPr>
        <w:jc w:val="both"/>
        <w:rPr>
          <w:sz w:val="28"/>
          <w:szCs w:val="28"/>
        </w:rPr>
      </w:pPr>
      <w:r w:rsidRPr="00FA464B">
        <w:rPr>
          <w:sz w:val="28"/>
          <w:szCs w:val="28"/>
        </w:rPr>
        <w:t xml:space="preserve">El precepto citado prevé el procedimiento relativo a la presunción de inexistencia de operaciones, cuando los contribuyentes hayan emitido comprobantes fiscales sin contar con activos, personal, infraestructura o capacidad material, directa o indirectamente, para prestar los servicios o producir, comercializar o entregar los bienes que amparan dichos comprobantes o cuando no se localice al contribuyente; conforme a su párrafo segundo, dicho procedimiento inicia con el oficio en el que se informa al contribuyente que se encuentra en esa situación, a través de su buzón tributario, de la página de Internet del Servicio de Administración Tributaria, así como mediante publicación en el Diario Oficial de la Federación, con el objeto de que manifieste ante la autoridad fiscal lo que a su derecho convenga y aporte la documentación e información que considere pertinente para desvirtuar los hechos que llevaron a la autoridad a notificarlo. Ahora, contra ese oficio es improcedente el juicio contencioso administrativo, de conformidad con el artículo 3 de la Ley Orgánica del Tribunal Federal de Justicia Administrativa, pues no es una resolución definitiva, sino de inicio de un procedimiento. Tampoco es un acto administrativo o procedimiento que </w:t>
      </w:r>
      <w:r w:rsidRPr="00FA464B">
        <w:rPr>
          <w:sz w:val="28"/>
          <w:szCs w:val="28"/>
        </w:rPr>
        <w:lastRenderedPageBreak/>
        <w:t>ocasione un agravio en materia fiscal, lo que se entiende como toda afectación en la esfera jurídica del gobernado, derivada del cumplimiento de sus obligaciones y derechos fiscales, así como que sus consecuencias tengan esa misma naturaleza y no una diversa, porque con la publicación de que se trata no se impide el ejercicio de sus derechos y obligaciones fiscales ni se le atribuye alguna responsabilidad, sino que sólo es un llamamiento para que desvirtúe la presunción; además, de considerar el contribuyente que se afecta su honorabilidad, tiene legitimación para emprender acciones de daño moral en la vía correspondiente, al no ser un tema de la materia fiscal. Concluir lo contrario podría menoscabar el interés de la colectividad en prevenir actividades que puedan resultar ilícitas, aunado a que atiende a una finalidad constitucionalmente legítima, concerniente a dar certeza a la relación tributaria ante el probable indebido cumplimiento del contribuyente de sus obligaciones formales y materiales.</w:t>
      </w:r>
    </w:p>
    <w:p w:rsidR="00FA464B" w:rsidRPr="00FA464B" w:rsidRDefault="00FA464B" w:rsidP="00FA464B">
      <w:pPr>
        <w:jc w:val="both"/>
        <w:rPr>
          <w:sz w:val="28"/>
          <w:szCs w:val="28"/>
        </w:rPr>
      </w:pPr>
      <w:r w:rsidRPr="00FA464B">
        <w:rPr>
          <w:sz w:val="28"/>
          <w:szCs w:val="28"/>
        </w:rPr>
        <w:t>QUINTO TRIBUNAL COLEGIADO EN MATERIA ADMINISTRATIVA DEL TERCER CIRCUITO.</w:t>
      </w:r>
    </w:p>
    <w:p w:rsidR="00FA464B" w:rsidRPr="00FA464B" w:rsidRDefault="00FA464B" w:rsidP="00FA464B">
      <w:pPr>
        <w:jc w:val="both"/>
        <w:rPr>
          <w:sz w:val="28"/>
          <w:szCs w:val="28"/>
        </w:rPr>
      </w:pPr>
      <w:r w:rsidRPr="00FA464B">
        <w:rPr>
          <w:sz w:val="28"/>
          <w:szCs w:val="28"/>
        </w:rPr>
        <w:t xml:space="preserve">Amparo directo 10/2019. Consorcio </w:t>
      </w:r>
      <w:proofErr w:type="spellStart"/>
      <w:r w:rsidRPr="00FA464B">
        <w:rPr>
          <w:sz w:val="28"/>
          <w:szCs w:val="28"/>
        </w:rPr>
        <w:t>Okea</w:t>
      </w:r>
      <w:proofErr w:type="spellEnd"/>
      <w:r w:rsidRPr="00FA464B">
        <w:rPr>
          <w:sz w:val="28"/>
          <w:szCs w:val="28"/>
        </w:rPr>
        <w:t>, A.C. 10 de mayo de 2019. Unanimidad de votos. Ponente: Juan José Rosales Sánchez. Secretaria: Andrea Alejandra Vizcaíno Arellano.</w:t>
      </w:r>
    </w:p>
    <w:p w:rsidR="00FA464B" w:rsidRPr="00FA464B" w:rsidRDefault="00FA464B" w:rsidP="00FA464B">
      <w:pPr>
        <w:jc w:val="both"/>
        <w:rPr>
          <w:sz w:val="28"/>
          <w:szCs w:val="28"/>
        </w:rPr>
      </w:pPr>
      <w:r w:rsidRPr="00FA464B">
        <w:rPr>
          <w:sz w:val="28"/>
          <w:szCs w:val="28"/>
        </w:rPr>
        <w:t>Nota: El criterio contenido en esta tesis es objeto de la denuncia relativa a la contradicción de tesis 253/2019, pendiente de resolverse por la Segunda Sala.</w:t>
      </w:r>
    </w:p>
    <w:p w:rsidR="00FA464B" w:rsidRPr="00FA464B" w:rsidRDefault="00FA464B" w:rsidP="00FA464B">
      <w:pPr>
        <w:jc w:val="both"/>
        <w:rPr>
          <w:sz w:val="28"/>
          <w:szCs w:val="28"/>
        </w:rPr>
      </w:pPr>
    </w:p>
    <w:p w:rsidR="00FA464B" w:rsidRPr="00FA464B" w:rsidRDefault="00FA464B" w:rsidP="00FA464B">
      <w:pPr>
        <w:jc w:val="both"/>
        <w:rPr>
          <w:sz w:val="28"/>
          <w:szCs w:val="28"/>
        </w:rPr>
      </w:pPr>
      <w:r w:rsidRPr="00FA464B">
        <w:rPr>
          <w:sz w:val="28"/>
          <w:szCs w:val="28"/>
        </w:rPr>
        <w:t>Esta tesis se publicó el viernes 23 de agosto de 2019 a las 10:31 horas en el Semanario Judicial de la Federación.</w:t>
      </w:r>
    </w:p>
    <w:p w:rsidR="00FA464B" w:rsidRPr="00FA464B" w:rsidRDefault="00FA464B" w:rsidP="00FA464B">
      <w:pPr>
        <w:jc w:val="both"/>
        <w:rPr>
          <w:sz w:val="28"/>
          <w:szCs w:val="28"/>
        </w:rPr>
      </w:pPr>
      <w:r w:rsidRPr="00FA464B">
        <w:rPr>
          <w:sz w:val="28"/>
          <w:szCs w:val="28"/>
        </w:rPr>
        <w:t xml:space="preserve">Época: Décima Época </w:t>
      </w:r>
    </w:p>
    <w:p w:rsidR="00FA464B" w:rsidRPr="00FA464B" w:rsidRDefault="00FA464B" w:rsidP="00FA464B">
      <w:pPr>
        <w:jc w:val="both"/>
        <w:rPr>
          <w:sz w:val="28"/>
          <w:szCs w:val="28"/>
        </w:rPr>
      </w:pPr>
      <w:r w:rsidRPr="00FA464B">
        <w:rPr>
          <w:sz w:val="28"/>
          <w:szCs w:val="28"/>
        </w:rPr>
        <w:t xml:space="preserve">Registro: 2019714 </w:t>
      </w:r>
    </w:p>
    <w:p w:rsidR="00FA464B" w:rsidRPr="00FA464B" w:rsidRDefault="00FA464B" w:rsidP="00FA464B">
      <w:pPr>
        <w:jc w:val="both"/>
        <w:rPr>
          <w:sz w:val="28"/>
          <w:szCs w:val="28"/>
        </w:rPr>
      </w:pPr>
      <w:r w:rsidRPr="00FA464B">
        <w:rPr>
          <w:sz w:val="28"/>
          <w:szCs w:val="28"/>
        </w:rPr>
        <w:t xml:space="preserve">Instancia: Primera Sala </w:t>
      </w:r>
    </w:p>
    <w:p w:rsidR="00FA464B" w:rsidRPr="00FA464B" w:rsidRDefault="00FA464B" w:rsidP="00FA464B">
      <w:pPr>
        <w:jc w:val="both"/>
        <w:rPr>
          <w:b/>
          <w:bCs/>
          <w:sz w:val="28"/>
          <w:szCs w:val="28"/>
        </w:rPr>
      </w:pPr>
      <w:r w:rsidRPr="00FA464B">
        <w:rPr>
          <w:b/>
          <w:bCs/>
          <w:sz w:val="28"/>
          <w:szCs w:val="28"/>
        </w:rPr>
        <w:t xml:space="preserve">Tipo de Tesis: Aislada </w:t>
      </w:r>
    </w:p>
    <w:p w:rsidR="00FA464B" w:rsidRPr="00FA464B" w:rsidRDefault="00FA464B" w:rsidP="00FA464B">
      <w:pPr>
        <w:jc w:val="both"/>
        <w:rPr>
          <w:b/>
          <w:bCs/>
          <w:sz w:val="28"/>
          <w:szCs w:val="28"/>
        </w:rPr>
      </w:pPr>
      <w:r w:rsidRPr="00FA464B">
        <w:rPr>
          <w:b/>
          <w:bCs/>
          <w:sz w:val="28"/>
          <w:szCs w:val="28"/>
        </w:rPr>
        <w:t xml:space="preserve">Fuente: Gaceta del Semanario Judicial de la Federación </w:t>
      </w:r>
    </w:p>
    <w:p w:rsidR="00FA464B" w:rsidRPr="00FA464B" w:rsidRDefault="00FA464B" w:rsidP="00FA464B">
      <w:pPr>
        <w:jc w:val="both"/>
        <w:rPr>
          <w:b/>
          <w:bCs/>
          <w:sz w:val="28"/>
          <w:szCs w:val="28"/>
        </w:rPr>
      </w:pPr>
      <w:r w:rsidRPr="00FA464B">
        <w:rPr>
          <w:b/>
          <w:bCs/>
          <w:sz w:val="28"/>
          <w:szCs w:val="28"/>
        </w:rPr>
        <w:t xml:space="preserve">Libro 65, </w:t>
      </w:r>
      <w:proofErr w:type="gramStart"/>
      <w:r w:rsidRPr="00FA464B">
        <w:rPr>
          <w:b/>
          <w:bCs/>
          <w:sz w:val="28"/>
          <w:szCs w:val="28"/>
        </w:rPr>
        <w:t>Abril</w:t>
      </w:r>
      <w:proofErr w:type="gramEnd"/>
      <w:r w:rsidRPr="00FA464B">
        <w:rPr>
          <w:b/>
          <w:bCs/>
          <w:sz w:val="28"/>
          <w:szCs w:val="28"/>
        </w:rPr>
        <w:t xml:space="preserve"> de 2019, Tomo I </w:t>
      </w:r>
    </w:p>
    <w:p w:rsidR="00FA464B" w:rsidRPr="00FA464B" w:rsidRDefault="00FA464B" w:rsidP="00FA464B">
      <w:pPr>
        <w:jc w:val="both"/>
        <w:rPr>
          <w:b/>
          <w:bCs/>
          <w:sz w:val="28"/>
          <w:szCs w:val="28"/>
        </w:rPr>
      </w:pPr>
      <w:r w:rsidRPr="00FA464B">
        <w:rPr>
          <w:b/>
          <w:bCs/>
          <w:sz w:val="28"/>
          <w:szCs w:val="28"/>
        </w:rPr>
        <w:lastRenderedPageBreak/>
        <w:t xml:space="preserve">Materia(s): Civil </w:t>
      </w:r>
    </w:p>
    <w:p w:rsidR="00FA464B" w:rsidRPr="00FA464B" w:rsidRDefault="00FA464B" w:rsidP="00FA464B">
      <w:pPr>
        <w:jc w:val="both"/>
        <w:rPr>
          <w:b/>
          <w:bCs/>
          <w:sz w:val="28"/>
          <w:szCs w:val="28"/>
        </w:rPr>
      </w:pPr>
      <w:r w:rsidRPr="00FA464B">
        <w:rPr>
          <w:b/>
          <w:bCs/>
          <w:sz w:val="28"/>
          <w:szCs w:val="28"/>
        </w:rPr>
        <w:t xml:space="preserve">Tesis: 1a. XXXIV/2019 (10a.) </w:t>
      </w:r>
    </w:p>
    <w:p w:rsidR="00FA464B" w:rsidRPr="00FA464B" w:rsidRDefault="00FA464B" w:rsidP="00FA464B">
      <w:pPr>
        <w:jc w:val="both"/>
        <w:rPr>
          <w:b/>
          <w:bCs/>
          <w:sz w:val="28"/>
          <w:szCs w:val="28"/>
        </w:rPr>
      </w:pPr>
      <w:r w:rsidRPr="00FA464B">
        <w:rPr>
          <w:b/>
          <w:bCs/>
          <w:sz w:val="28"/>
          <w:szCs w:val="28"/>
        </w:rPr>
        <w:t xml:space="preserve">Página: 787 </w:t>
      </w:r>
    </w:p>
    <w:p w:rsidR="00FA464B" w:rsidRPr="00FA464B" w:rsidRDefault="00FA464B" w:rsidP="00FA464B">
      <w:pPr>
        <w:jc w:val="both"/>
        <w:rPr>
          <w:b/>
          <w:bCs/>
          <w:sz w:val="28"/>
          <w:szCs w:val="28"/>
        </w:rPr>
      </w:pPr>
    </w:p>
    <w:p w:rsidR="00FA464B" w:rsidRPr="00FA464B" w:rsidRDefault="00FA464B" w:rsidP="00FA464B">
      <w:pPr>
        <w:jc w:val="both"/>
        <w:rPr>
          <w:b/>
          <w:bCs/>
          <w:sz w:val="28"/>
          <w:szCs w:val="28"/>
        </w:rPr>
      </w:pPr>
      <w:r w:rsidRPr="00FA464B">
        <w:rPr>
          <w:b/>
          <w:bCs/>
          <w:sz w:val="28"/>
          <w:szCs w:val="28"/>
        </w:rPr>
        <w:t xml:space="preserve">DAÑO MORAL. SU EXISTENCIA POR LA AFECTACIÓN DEL DERECHO AL HONOR EN SU VERTIENTE DE BUENA REPUTACIÓN, NO GOZA DE PRESUNCIÓN, SINO QUE DEBE ACREDITARSE. </w:t>
      </w:r>
    </w:p>
    <w:p w:rsidR="00FA464B" w:rsidRPr="0084323D" w:rsidRDefault="00FA464B" w:rsidP="00FA464B">
      <w:pPr>
        <w:jc w:val="both"/>
        <w:rPr>
          <w:b/>
          <w:bCs/>
          <w:sz w:val="28"/>
          <w:szCs w:val="28"/>
        </w:rPr>
      </w:pPr>
      <w:r w:rsidRPr="00FA464B">
        <w:rPr>
          <w:sz w:val="28"/>
          <w:szCs w:val="28"/>
        </w:rPr>
        <w:t xml:space="preserve">El derecho humano al honor, como parte del bloque de los denominados derechos de la personalidad, comprende en su dimensión objetiva, externa o social, a la buena reputación, y ésta tiene como componentes, por una parte, </w:t>
      </w:r>
      <w:r w:rsidRPr="0084323D">
        <w:rPr>
          <w:b/>
          <w:bCs/>
          <w:sz w:val="28"/>
          <w:szCs w:val="28"/>
        </w:rPr>
        <w:t>las buenas cualidades morales o profesionales de la persona,</w:t>
      </w:r>
      <w:r w:rsidRPr="00FA464B">
        <w:rPr>
          <w:sz w:val="28"/>
          <w:szCs w:val="28"/>
        </w:rPr>
        <w:t xml:space="preserve"> que pueden considerarse valores respecto de ella y, por otra, la buena opinión, consideración o estima, que los demás tengan de ella o para con ella por esos valores, y que constituye un bien jurídico de su personalidad, del cual goza como resultado de su comportamiento moral y/o profesional; por ende, la buena reputación sí entraña un derecho que asiste a todas las personas por igual, y se traduce en la facultad que cada individuo tiene de exigir que otro no condicione negativamente la opinión, consideración o estima que los demás se han de formar sobre él. En ese sentido, la Primera Sala de la Suprema Corte de Justicia de la Nación ha sostenido que tanto las personas físicas como las morales cuentan dentro de los derechos de su personalidad</w:t>
      </w:r>
      <w:r w:rsidRPr="0084323D">
        <w:rPr>
          <w:b/>
          <w:bCs/>
          <w:sz w:val="28"/>
          <w:szCs w:val="28"/>
          <w:u w:val="single"/>
        </w:rPr>
        <w:t>, con el derecho al honor y a su buena reputación, por lo que tienen legitimación para emprender acciones de daño moral cuando esos bienes jurídicos son lesionados.</w:t>
      </w:r>
      <w:r w:rsidRPr="00FA464B">
        <w:rPr>
          <w:sz w:val="28"/>
          <w:szCs w:val="28"/>
        </w:rPr>
        <w:t xml:space="preserve"> Así, cuando se juzguen actos ilícitos concretos que potencialmente puedan lesionar el derecho al honor en su vertiente de buena reputación, no es acorde con el contenido y alcance de ese derecho sostener que pueda exigirse al accionante que demuestre la existencia y magnitud de una previa buena reputación, pues ello implicaría negar a ésta la naturaleza de derecho fundamental, además, porque es inherente a ese derecho presumirla por igual en todas las personas y en todos los casos, y partir de la base de su existencia para determinar si los hechos o actos ilícitos materia del litigio afectaron esa buena reputación. Ahora bien, la existencia del daño moral derivado de la afectación a ese derecho es una cuestión distinta, respecto de la cual no es </w:t>
      </w:r>
      <w:r w:rsidRPr="00FA464B">
        <w:rPr>
          <w:sz w:val="28"/>
          <w:szCs w:val="28"/>
        </w:rPr>
        <w:lastRenderedPageBreak/>
        <w:t xml:space="preserve">posible sentar su presunción, como una premisa inherente a su definición, contenido y alcance, sino que debe acreditarse, porque la presunción de daño en que se sustenta la denominada teoría de la prueba objetiva, se justifica en dos razones esenciales: </w:t>
      </w:r>
      <w:r w:rsidRPr="0084323D">
        <w:rPr>
          <w:b/>
          <w:bCs/>
          <w:sz w:val="28"/>
          <w:szCs w:val="28"/>
        </w:rPr>
        <w:t>1) la imposibilidad o notoria dificultad de acreditar mediante prueba directa la afectación, derivado de la naturaleza intangible e inmaterial de ésta; y, 2) la posibilidad de establecer la certeza de la afectación como consecuencia necesaria, lógica y natural u ordinaria, del acto o hecho ilícito; condiciones que no necesariamente se actualizan cuando se aduce afectación a la buena reputación, ya que ésta implica la existencia de factores o elementos externos y la intervención de otras personas, según el tipo de interacción o relación existente entre éstas y el afectado, que son susceptibles de expresión material y, por tanto, objeto de prueba directa que la acredite.</w:t>
      </w:r>
    </w:p>
    <w:p w:rsidR="00FA464B" w:rsidRDefault="00FA464B" w:rsidP="00FA464B">
      <w:pPr>
        <w:jc w:val="both"/>
        <w:rPr>
          <w:sz w:val="28"/>
          <w:szCs w:val="28"/>
        </w:rPr>
      </w:pPr>
      <w:r w:rsidRPr="00FA464B">
        <w:rPr>
          <w:sz w:val="28"/>
          <w:szCs w:val="28"/>
        </w:rPr>
        <w:t xml:space="preserve">Amparo directo en revisión 3802/2018. Luis Antonio Arrieta Rubín. 30 de enero de 2019. Cinco votos de los </w:t>
      </w:r>
      <w:proofErr w:type="gramStart"/>
      <w:r w:rsidRPr="00FA464B">
        <w:rPr>
          <w:sz w:val="28"/>
          <w:szCs w:val="28"/>
        </w:rPr>
        <w:t>Ministros</w:t>
      </w:r>
      <w:proofErr w:type="gramEnd"/>
      <w:r w:rsidRPr="00FA464B">
        <w:rPr>
          <w:sz w:val="28"/>
          <w:szCs w:val="28"/>
        </w:rPr>
        <w:t xml:space="preserve"> Norma Lucía Piña Hernández, Luis María Aguilar Morales, Jorge Mario Pardo Rebolledo, Alfredo Gutiérrez Ortiz Mena y Juan Luis González Alcántara Carrancá. Ponente: Norma Lucía Piña Hernández. Secretaria: Laura Patricia Román Silva. </w:t>
      </w:r>
    </w:p>
    <w:p w:rsidR="00FA464B" w:rsidRDefault="00FA464B" w:rsidP="00FA464B">
      <w:pPr>
        <w:jc w:val="both"/>
        <w:rPr>
          <w:sz w:val="28"/>
          <w:szCs w:val="28"/>
        </w:rPr>
      </w:pPr>
      <w:r w:rsidRPr="00FA464B">
        <w:rPr>
          <w:sz w:val="28"/>
          <w:szCs w:val="28"/>
        </w:rPr>
        <w:t>Esta tesis se publicó el viernes 26 de abril de 2019 a las 10:30 horas en el Semanario Judicial de la Federación.</w:t>
      </w:r>
    </w:p>
    <w:p w:rsidR="002B7FB1" w:rsidRDefault="002B7FB1" w:rsidP="00FA464B">
      <w:pPr>
        <w:jc w:val="both"/>
        <w:rPr>
          <w:sz w:val="28"/>
          <w:szCs w:val="28"/>
        </w:rPr>
      </w:pPr>
    </w:p>
    <w:p w:rsidR="00FA464B" w:rsidRPr="002B7FB1" w:rsidRDefault="00FA464B" w:rsidP="00FA464B">
      <w:pPr>
        <w:jc w:val="both"/>
        <w:rPr>
          <w:b/>
          <w:bCs/>
          <w:sz w:val="28"/>
          <w:szCs w:val="28"/>
        </w:rPr>
      </w:pPr>
      <w:r w:rsidRPr="002B7FB1">
        <w:rPr>
          <w:b/>
          <w:bCs/>
          <w:sz w:val="28"/>
          <w:szCs w:val="28"/>
        </w:rPr>
        <w:t xml:space="preserve">Época: Décima Época </w:t>
      </w:r>
    </w:p>
    <w:p w:rsidR="00FA464B" w:rsidRPr="002B7FB1" w:rsidRDefault="00FA464B" w:rsidP="00FA464B">
      <w:pPr>
        <w:jc w:val="both"/>
        <w:rPr>
          <w:b/>
          <w:bCs/>
          <w:sz w:val="28"/>
          <w:szCs w:val="28"/>
        </w:rPr>
      </w:pPr>
      <w:r w:rsidRPr="002B7FB1">
        <w:rPr>
          <w:b/>
          <w:bCs/>
          <w:sz w:val="28"/>
          <w:szCs w:val="28"/>
        </w:rPr>
        <w:t xml:space="preserve">Registro: 2019713 </w:t>
      </w:r>
    </w:p>
    <w:p w:rsidR="00FA464B" w:rsidRPr="002B7FB1" w:rsidRDefault="00FA464B" w:rsidP="00FA464B">
      <w:pPr>
        <w:jc w:val="both"/>
        <w:rPr>
          <w:b/>
          <w:bCs/>
          <w:sz w:val="28"/>
          <w:szCs w:val="28"/>
        </w:rPr>
      </w:pPr>
      <w:r w:rsidRPr="002B7FB1">
        <w:rPr>
          <w:b/>
          <w:bCs/>
          <w:sz w:val="28"/>
          <w:szCs w:val="28"/>
        </w:rPr>
        <w:t xml:space="preserve">Instancia: Tribunales Colegiados de Circuito </w:t>
      </w:r>
    </w:p>
    <w:p w:rsidR="00FA464B" w:rsidRPr="002B7FB1" w:rsidRDefault="00FA464B" w:rsidP="00FA464B">
      <w:pPr>
        <w:jc w:val="both"/>
        <w:rPr>
          <w:b/>
          <w:bCs/>
          <w:sz w:val="28"/>
          <w:szCs w:val="28"/>
        </w:rPr>
      </w:pPr>
      <w:r w:rsidRPr="002B7FB1">
        <w:rPr>
          <w:b/>
          <w:bCs/>
          <w:sz w:val="28"/>
          <w:szCs w:val="28"/>
        </w:rPr>
        <w:t xml:space="preserve">Tipo de Tesis: Aislada </w:t>
      </w:r>
    </w:p>
    <w:p w:rsidR="00FA464B" w:rsidRPr="002B7FB1" w:rsidRDefault="00FA464B" w:rsidP="00FA464B">
      <w:pPr>
        <w:jc w:val="both"/>
        <w:rPr>
          <w:b/>
          <w:bCs/>
          <w:sz w:val="28"/>
          <w:szCs w:val="28"/>
        </w:rPr>
      </w:pPr>
      <w:r w:rsidRPr="002B7FB1">
        <w:rPr>
          <w:b/>
          <w:bCs/>
          <w:sz w:val="28"/>
          <w:szCs w:val="28"/>
        </w:rPr>
        <w:t xml:space="preserve">Fuente: Gaceta del Semanario Judicial de la Federación </w:t>
      </w:r>
    </w:p>
    <w:p w:rsidR="00FA464B" w:rsidRPr="002B7FB1" w:rsidRDefault="00FA464B" w:rsidP="00FA464B">
      <w:pPr>
        <w:jc w:val="both"/>
        <w:rPr>
          <w:b/>
          <w:bCs/>
          <w:sz w:val="28"/>
          <w:szCs w:val="28"/>
        </w:rPr>
      </w:pPr>
      <w:r w:rsidRPr="002B7FB1">
        <w:rPr>
          <w:b/>
          <w:bCs/>
          <w:sz w:val="28"/>
          <w:szCs w:val="28"/>
        </w:rPr>
        <w:t xml:space="preserve">Libro 65, </w:t>
      </w:r>
      <w:proofErr w:type="gramStart"/>
      <w:r w:rsidRPr="002B7FB1">
        <w:rPr>
          <w:b/>
          <w:bCs/>
          <w:sz w:val="28"/>
          <w:szCs w:val="28"/>
        </w:rPr>
        <w:t>Abril</w:t>
      </w:r>
      <w:proofErr w:type="gramEnd"/>
      <w:r w:rsidRPr="002B7FB1">
        <w:rPr>
          <w:b/>
          <w:bCs/>
          <w:sz w:val="28"/>
          <w:szCs w:val="28"/>
        </w:rPr>
        <w:t xml:space="preserve"> de 2019, Tomo III </w:t>
      </w:r>
    </w:p>
    <w:p w:rsidR="00FA464B" w:rsidRPr="002B7FB1" w:rsidRDefault="00FA464B" w:rsidP="00FA464B">
      <w:pPr>
        <w:jc w:val="both"/>
        <w:rPr>
          <w:b/>
          <w:bCs/>
          <w:sz w:val="28"/>
          <w:szCs w:val="28"/>
        </w:rPr>
      </w:pPr>
      <w:r w:rsidRPr="002B7FB1">
        <w:rPr>
          <w:b/>
          <w:bCs/>
          <w:sz w:val="28"/>
          <w:szCs w:val="28"/>
        </w:rPr>
        <w:t xml:space="preserve">Materia(s): Constitucional, Civil </w:t>
      </w:r>
    </w:p>
    <w:p w:rsidR="00FA464B" w:rsidRPr="002B7FB1" w:rsidRDefault="00FA464B" w:rsidP="00FA464B">
      <w:pPr>
        <w:jc w:val="both"/>
        <w:rPr>
          <w:b/>
          <w:bCs/>
          <w:sz w:val="28"/>
          <w:szCs w:val="28"/>
        </w:rPr>
      </w:pPr>
      <w:r w:rsidRPr="002B7FB1">
        <w:rPr>
          <w:b/>
          <w:bCs/>
          <w:sz w:val="28"/>
          <w:szCs w:val="28"/>
        </w:rPr>
        <w:t xml:space="preserve">Tesis: I.4o.C.71 C (10a.) </w:t>
      </w:r>
    </w:p>
    <w:p w:rsidR="00FA464B" w:rsidRPr="002B7FB1" w:rsidRDefault="00FA464B" w:rsidP="00FA464B">
      <w:pPr>
        <w:jc w:val="both"/>
        <w:rPr>
          <w:b/>
          <w:bCs/>
          <w:sz w:val="28"/>
          <w:szCs w:val="28"/>
        </w:rPr>
      </w:pPr>
      <w:r w:rsidRPr="002B7FB1">
        <w:rPr>
          <w:b/>
          <w:bCs/>
          <w:sz w:val="28"/>
          <w:szCs w:val="28"/>
        </w:rPr>
        <w:t xml:space="preserve">Página: 2005 </w:t>
      </w:r>
    </w:p>
    <w:p w:rsidR="00FA464B" w:rsidRPr="002B7FB1" w:rsidRDefault="00FA464B" w:rsidP="00FA464B">
      <w:pPr>
        <w:jc w:val="both"/>
        <w:rPr>
          <w:b/>
          <w:bCs/>
          <w:sz w:val="28"/>
          <w:szCs w:val="28"/>
        </w:rPr>
      </w:pPr>
    </w:p>
    <w:p w:rsidR="00FA464B" w:rsidRPr="002B7FB1" w:rsidRDefault="00FA464B" w:rsidP="00FA464B">
      <w:pPr>
        <w:jc w:val="both"/>
        <w:rPr>
          <w:b/>
          <w:bCs/>
          <w:sz w:val="28"/>
          <w:szCs w:val="28"/>
        </w:rPr>
      </w:pPr>
      <w:r w:rsidRPr="002B7FB1">
        <w:rPr>
          <w:b/>
          <w:bCs/>
          <w:sz w:val="28"/>
          <w:szCs w:val="28"/>
        </w:rPr>
        <w:t>DAÑO MORAL. RESPONSABILIDAD DE EMPRESAS EDITORIALES, POR AFECTACIÓN A LA VIDA PRIVADA, AL HONOR Y A LA PROPIA IMAGEN.</w:t>
      </w:r>
    </w:p>
    <w:p w:rsidR="00FA464B" w:rsidRPr="00FA464B" w:rsidRDefault="00FA464B" w:rsidP="00FA464B">
      <w:pPr>
        <w:jc w:val="both"/>
        <w:rPr>
          <w:sz w:val="28"/>
          <w:szCs w:val="28"/>
        </w:rPr>
      </w:pPr>
      <w:r w:rsidRPr="00FA464B">
        <w:rPr>
          <w:sz w:val="28"/>
          <w:szCs w:val="28"/>
        </w:rPr>
        <w:t xml:space="preserve">La Primera Sala de la Suprema Corte de Justicia de la Nación, en la tesis aislada 1a. CLXXII/2012 (10a.), estableció como regla general la ausencia de imputación objetiva de responsabilidad para estas empresas; sin embargo, reconoció la existencia de excepciones concretas, lo que abre la posibilidad de contribuir a la determinación de otros casos, que lejos de reñir o contraponerse con esos lineamientos, los complementen. Ciertamente, es innegable la existencia de supuestos de los que se evidencia claramente la corresponsabilidad de los órganos directivos o de las empresas editoriales, conjuntamente con los autores, que afectan el honor, la vida privada de las personas, la propia imagen, etcétera, con el material reproducido en sus medios de comunicación, como son los siguientes: 1. Existencia de un acuerdo de voluntades, expreso o tácito, entre la empresa editorial y el autor, en el que la primera se haya reservado su derecho de revisar previamente el contenido aportado por el segundo, como requisito establecido en el contrato de edición literaria, con base en las disposiciones de la Ley Federal del Derecho de Autor. Esta situación implica que la editorial realiza un análisis previo del contenido de la información, con la finalidad de determinar si decide o no publicarla. Ese análisis no se traduce en una previa censura, ni se les impone la obligación de revisar y seleccionar contenidos y decidir qué notas pueden o no publicar, porque esa actividad se lleva a cabo en cumplimiento a los derechos y obligaciones contractuales. 2. Cuando la empresa editorial intencionalmente busca dañar o afectar, acorde a lo dispuesto por el artículo 2106 del Código Civil Federal y sus correlativos de las entidades de la República, así como diversos principios de los actos jurídicos propios, relativos a que nadie puede beneficiarse de su propio dolo. Para evitar legitimar el abuso del derecho, debe recurrirse al análisis de su organización normativa y funcional, vista externamente o mediante el corrimiento del velo corporativo, cuando ello sea estrictamente necesario, con base en los hechos y las pruebas aportadas por el afectado, que pueden complementarse con las recabadas oficiosamente por el juzgador, cuando así proceda. 3. Culpa inexcusable de la empresa editorial, presente en los casos de información notoriamente falsa; la que carece </w:t>
      </w:r>
      <w:r w:rsidRPr="00FA464B">
        <w:rPr>
          <w:sz w:val="28"/>
          <w:szCs w:val="28"/>
        </w:rPr>
        <w:lastRenderedPageBreak/>
        <w:t xml:space="preserve">claramente de fuentes comprobables, a pesar de haberse manejado como "investigación"; la que se aparta de las reglas de la lógica, del sentido común, o la que parte de premisas clara, evidente y rotundamente indemostrables, que fácilmente se adviertan por cualquier persona, como sucede, verbigracia, cuando se derivan de revelaciones de videntes o seres divinos. En este supuesto, para determinar la responsabilidad, es imprescindible que el demandante contribuya aportando los hechos claros, precisos y concisos desde su demanda y cumpla su carga probatoria. 4. Cuando es dueña o titular de los derechos de publicación, de manera que, en términos del artículo 47 de la Ley Federal del Derecho de Autor, pueda reimprimir o autorizar a otros la reproducción del contenido, ya declarado ilícito, en otros medios de difusión. En este caso, la editorial podría pretender ejercer sus derechos contractuales, y así poner en tela de juicio los derechos del afectado para defenderse, porque ya no podría demandarse de nueva cuenta al autor, en virtud de que la reimpresión o nueva publicación no le serán atribuibles. La situación se agrava cuando la información permanece en Internet por tiempo indefinido, pues si no se vincula a la editorial, se pondría en duda su obligación consecuencial de eliminar los registros digitales y dejarla al alcance de cualquier cibernauta, por lo que el acto ilícito seguiría produciendo efectos y consecuencias en el patrimonio moral del afectado. 5. Por discriminación e inequidad en el cumplimiento de la condena. En efecto, estas empresas, acorde a lo establecido por el artículo 75, fracción IX, del Código de Comercio, desempeñan una actividad lucrativa, por lo cual existe la presunción legal de que obtuvieron ganancias con la publicación de la información ilícita. La </w:t>
      </w:r>
      <w:proofErr w:type="spellStart"/>
      <w:r w:rsidRPr="00FA464B">
        <w:rPr>
          <w:sz w:val="28"/>
          <w:szCs w:val="28"/>
        </w:rPr>
        <w:t>mercantilidad</w:t>
      </w:r>
      <w:proofErr w:type="spellEnd"/>
      <w:r w:rsidRPr="00FA464B">
        <w:rPr>
          <w:sz w:val="28"/>
          <w:szCs w:val="28"/>
        </w:rPr>
        <w:t xml:space="preserve"> de sus actos implica que si solamente se condena al autor, en términos del artículo 39 de la Ley de Responsabilidad Civil para la Protección del Derecho a la Vida Privada, el Honor y la Propia Imagen en el Distrito Federal, ahora Ciudad de México, se propiciaría: a) discriminar subjetivamente al autor frente a la editorial, porque a pesar de que ambos lucraron con el mismo acto ilícito, solamente el primero tendrá que soportar la condena, en contravención al artículo 1o. constitucional; y b) enriquecer ilícitamente a la editorial, al lucrar con la publicación de la sentencia condenatoria a costa del autor, ganancia que puede ser mucho mayor acorde al espacio necesario para difundir la resolución condenatoria. 6. El enfoque de la información, por el formato o estilo del diseño gráfico.</w:t>
      </w:r>
    </w:p>
    <w:p w:rsidR="00FA464B" w:rsidRPr="00FA464B" w:rsidRDefault="00FA464B" w:rsidP="00FA464B">
      <w:pPr>
        <w:jc w:val="both"/>
        <w:rPr>
          <w:sz w:val="28"/>
          <w:szCs w:val="28"/>
        </w:rPr>
      </w:pPr>
    </w:p>
    <w:p w:rsidR="00FA464B" w:rsidRPr="00FA464B" w:rsidRDefault="00FA464B" w:rsidP="00FA464B">
      <w:pPr>
        <w:jc w:val="both"/>
        <w:rPr>
          <w:sz w:val="28"/>
          <w:szCs w:val="28"/>
        </w:rPr>
      </w:pPr>
      <w:r w:rsidRPr="00FA464B">
        <w:rPr>
          <w:sz w:val="28"/>
          <w:szCs w:val="28"/>
        </w:rPr>
        <w:t>CUARTO TRIBUNAL COLEGIADO EN MATERIA CIVIL DEL PRIMER CIRCUITO.</w:t>
      </w:r>
    </w:p>
    <w:p w:rsidR="00FA464B" w:rsidRPr="00FA464B" w:rsidRDefault="00FA464B" w:rsidP="00FA464B">
      <w:pPr>
        <w:jc w:val="both"/>
        <w:rPr>
          <w:sz w:val="28"/>
          <w:szCs w:val="28"/>
        </w:rPr>
      </w:pPr>
    </w:p>
    <w:p w:rsidR="00FA464B" w:rsidRPr="00FA464B" w:rsidRDefault="00FA464B" w:rsidP="00FA464B">
      <w:pPr>
        <w:jc w:val="both"/>
        <w:rPr>
          <w:sz w:val="28"/>
          <w:szCs w:val="28"/>
        </w:rPr>
      </w:pPr>
      <w:r w:rsidRPr="00FA464B">
        <w:rPr>
          <w:sz w:val="28"/>
          <w:szCs w:val="28"/>
        </w:rPr>
        <w:t xml:space="preserve">Amparo directo 850/2018. Guillermo Eduardo Capetillo de </w:t>
      </w:r>
      <w:proofErr w:type="spellStart"/>
      <w:r w:rsidRPr="00FA464B">
        <w:rPr>
          <w:sz w:val="28"/>
          <w:szCs w:val="28"/>
        </w:rPr>
        <w:t>Florez</w:t>
      </w:r>
      <w:proofErr w:type="spellEnd"/>
      <w:r w:rsidRPr="00FA464B">
        <w:rPr>
          <w:sz w:val="28"/>
          <w:szCs w:val="28"/>
        </w:rPr>
        <w:t>, también conocido como Guillermo Capetillo. 28 de febrero de 2019. Unanimidad de votos. Ponente: Leonel Castillo González. Secretario: Jaime Murillo Morales.</w:t>
      </w:r>
    </w:p>
    <w:p w:rsidR="00FA464B" w:rsidRPr="00FA464B" w:rsidRDefault="00FA464B" w:rsidP="00FA464B">
      <w:pPr>
        <w:jc w:val="both"/>
        <w:rPr>
          <w:sz w:val="28"/>
          <w:szCs w:val="28"/>
        </w:rPr>
      </w:pPr>
    </w:p>
    <w:p w:rsidR="00FA464B" w:rsidRPr="00FA464B" w:rsidRDefault="00FA464B" w:rsidP="00FA464B">
      <w:pPr>
        <w:jc w:val="both"/>
        <w:rPr>
          <w:sz w:val="28"/>
          <w:szCs w:val="28"/>
        </w:rPr>
      </w:pPr>
      <w:r w:rsidRPr="00FA464B">
        <w:rPr>
          <w:sz w:val="28"/>
          <w:szCs w:val="28"/>
        </w:rPr>
        <w:t>Esta tesis se publicó el viernes 26 de abril de 2019 a las 10:30 horas en el Semanario Judicial de la Federación.</w:t>
      </w:r>
    </w:p>
    <w:p w:rsidR="002B7FB1" w:rsidRDefault="002B7FB1" w:rsidP="00E17FFE">
      <w:pPr>
        <w:jc w:val="both"/>
        <w:rPr>
          <w:sz w:val="28"/>
          <w:szCs w:val="28"/>
        </w:rPr>
      </w:pPr>
    </w:p>
    <w:p w:rsidR="00E17FFE" w:rsidRPr="00E17FFE" w:rsidRDefault="00E17FFE" w:rsidP="00E17FFE">
      <w:pPr>
        <w:jc w:val="both"/>
        <w:rPr>
          <w:sz w:val="28"/>
          <w:szCs w:val="28"/>
        </w:rPr>
      </w:pPr>
      <w:r w:rsidRPr="00E17FFE">
        <w:rPr>
          <w:sz w:val="28"/>
          <w:szCs w:val="28"/>
        </w:rPr>
        <w:t xml:space="preserve">Época: Décima Época </w:t>
      </w:r>
    </w:p>
    <w:p w:rsidR="00E17FFE" w:rsidRPr="00E17FFE" w:rsidRDefault="00E17FFE" w:rsidP="00E17FFE">
      <w:pPr>
        <w:jc w:val="both"/>
        <w:rPr>
          <w:sz w:val="28"/>
          <w:szCs w:val="28"/>
        </w:rPr>
      </w:pPr>
      <w:r w:rsidRPr="00E17FFE">
        <w:rPr>
          <w:sz w:val="28"/>
          <w:szCs w:val="28"/>
        </w:rPr>
        <w:t xml:space="preserve">Registro: 2019288 </w:t>
      </w:r>
    </w:p>
    <w:p w:rsidR="00E17FFE" w:rsidRPr="00E17FFE" w:rsidRDefault="00E17FFE" w:rsidP="00E17FFE">
      <w:pPr>
        <w:jc w:val="both"/>
        <w:rPr>
          <w:sz w:val="28"/>
          <w:szCs w:val="28"/>
        </w:rPr>
      </w:pPr>
      <w:r w:rsidRPr="00E17FFE">
        <w:rPr>
          <w:sz w:val="28"/>
          <w:szCs w:val="28"/>
        </w:rPr>
        <w:t xml:space="preserve">Instancia: Primera Sala </w:t>
      </w:r>
    </w:p>
    <w:p w:rsidR="00E17FFE" w:rsidRPr="00E17FFE" w:rsidRDefault="00E17FFE" w:rsidP="00E17FFE">
      <w:pPr>
        <w:jc w:val="both"/>
        <w:rPr>
          <w:sz w:val="28"/>
          <w:szCs w:val="28"/>
        </w:rPr>
      </w:pPr>
      <w:r w:rsidRPr="00E17FFE">
        <w:rPr>
          <w:sz w:val="28"/>
          <w:szCs w:val="28"/>
        </w:rPr>
        <w:t xml:space="preserve">Tipo de Tesis: Aislada </w:t>
      </w:r>
    </w:p>
    <w:p w:rsidR="00E17FFE" w:rsidRPr="00E17FFE" w:rsidRDefault="00E17FFE" w:rsidP="00E17FFE">
      <w:pPr>
        <w:jc w:val="both"/>
        <w:rPr>
          <w:sz w:val="28"/>
          <w:szCs w:val="28"/>
        </w:rPr>
      </w:pPr>
      <w:r w:rsidRPr="00E17FFE">
        <w:rPr>
          <w:sz w:val="28"/>
          <w:szCs w:val="28"/>
        </w:rPr>
        <w:t xml:space="preserve">Fuente: Gaceta del Semanario Judicial de la Federación </w:t>
      </w:r>
    </w:p>
    <w:p w:rsidR="00E17FFE" w:rsidRPr="00E17FFE" w:rsidRDefault="00E17FFE" w:rsidP="00E17FFE">
      <w:pPr>
        <w:jc w:val="both"/>
        <w:rPr>
          <w:sz w:val="28"/>
          <w:szCs w:val="28"/>
        </w:rPr>
      </w:pPr>
      <w:r w:rsidRPr="00E17FFE">
        <w:rPr>
          <w:sz w:val="28"/>
          <w:szCs w:val="28"/>
        </w:rPr>
        <w:t xml:space="preserve">Libro 63, </w:t>
      </w:r>
      <w:proofErr w:type="gramStart"/>
      <w:r w:rsidRPr="00E17FFE">
        <w:rPr>
          <w:sz w:val="28"/>
          <w:szCs w:val="28"/>
        </w:rPr>
        <w:t>Febrero</w:t>
      </w:r>
      <w:proofErr w:type="gramEnd"/>
      <w:r w:rsidRPr="00E17FFE">
        <w:rPr>
          <w:sz w:val="28"/>
          <w:szCs w:val="28"/>
        </w:rPr>
        <w:t xml:space="preserve"> de 2019, Tomo I </w:t>
      </w:r>
    </w:p>
    <w:p w:rsidR="00E17FFE" w:rsidRPr="00E17FFE" w:rsidRDefault="00E17FFE" w:rsidP="00E17FFE">
      <w:pPr>
        <w:jc w:val="both"/>
        <w:rPr>
          <w:sz w:val="28"/>
          <w:szCs w:val="28"/>
        </w:rPr>
      </w:pPr>
      <w:r w:rsidRPr="00E17FFE">
        <w:rPr>
          <w:sz w:val="28"/>
          <w:szCs w:val="28"/>
        </w:rPr>
        <w:t xml:space="preserve">Materia(s): Civil </w:t>
      </w:r>
    </w:p>
    <w:p w:rsidR="00E17FFE" w:rsidRPr="00E17FFE" w:rsidRDefault="00E17FFE" w:rsidP="00E17FFE">
      <w:pPr>
        <w:jc w:val="both"/>
        <w:rPr>
          <w:sz w:val="28"/>
          <w:szCs w:val="28"/>
        </w:rPr>
      </w:pPr>
      <w:r w:rsidRPr="00E17FFE">
        <w:rPr>
          <w:sz w:val="28"/>
          <w:szCs w:val="28"/>
        </w:rPr>
        <w:t xml:space="preserve">Tesis: 1a. XIV/2019 (10a.) </w:t>
      </w:r>
    </w:p>
    <w:p w:rsidR="00E17FFE" w:rsidRPr="00E17FFE" w:rsidRDefault="00E17FFE" w:rsidP="00E17FFE">
      <w:pPr>
        <w:jc w:val="both"/>
        <w:rPr>
          <w:sz w:val="28"/>
          <w:szCs w:val="28"/>
        </w:rPr>
      </w:pPr>
      <w:r w:rsidRPr="00E17FFE">
        <w:rPr>
          <w:sz w:val="28"/>
          <w:szCs w:val="28"/>
        </w:rPr>
        <w:t xml:space="preserve">Página: 724 </w:t>
      </w:r>
    </w:p>
    <w:p w:rsidR="00E17FFE" w:rsidRPr="00E17FFE" w:rsidRDefault="00E17FFE" w:rsidP="00E17FFE">
      <w:pPr>
        <w:jc w:val="both"/>
        <w:rPr>
          <w:sz w:val="28"/>
          <w:szCs w:val="28"/>
        </w:rPr>
      </w:pPr>
      <w:r w:rsidRPr="00E17FFE">
        <w:rPr>
          <w:sz w:val="28"/>
          <w:szCs w:val="28"/>
        </w:rPr>
        <w:t xml:space="preserve">VIOLENCIA INTRAFAMILIAR. PARÁMETROS PARA CALCULAR EL MONTO DE INDEMNIZACIÓN QUE CORRESPONDE POR EL DAÑO MORAL QUE GENERÓ. </w:t>
      </w:r>
    </w:p>
    <w:p w:rsidR="00E17FFE" w:rsidRPr="00E17FFE" w:rsidRDefault="00E17FFE" w:rsidP="00E17FFE">
      <w:pPr>
        <w:jc w:val="both"/>
        <w:rPr>
          <w:sz w:val="28"/>
          <w:szCs w:val="28"/>
        </w:rPr>
      </w:pPr>
      <w:bookmarkStart w:id="0" w:name="_GoBack"/>
      <w:bookmarkEnd w:id="0"/>
      <w:r w:rsidRPr="00E17FFE">
        <w:rPr>
          <w:sz w:val="28"/>
          <w:szCs w:val="28"/>
        </w:rPr>
        <w:t xml:space="preserve">Los daños morales derivados de la violencia doméstica son indemnizables económicamente. La traducción de la reparación económica derivada del daño moral, es más compleja que la derivada del daño patrimonial. En efecto, resulta particularmente difícil establecer los parámetros que deberán tomarse en cuenta a la hora de fijar el </w:t>
      </w:r>
      <w:proofErr w:type="spellStart"/>
      <w:r w:rsidRPr="00E17FFE">
        <w:rPr>
          <w:sz w:val="28"/>
          <w:szCs w:val="28"/>
        </w:rPr>
        <w:t>quántum</w:t>
      </w:r>
      <w:proofErr w:type="spellEnd"/>
      <w:r w:rsidRPr="00E17FFE">
        <w:rPr>
          <w:sz w:val="28"/>
          <w:szCs w:val="28"/>
        </w:rPr>
        <w:t xml:space="preserve"> de la reparación. Su determinación oscila entre el margen de discrecionalidad que debe tener el juzgador para </w:t>
      </w:r>
      <w:r w:rsidRPr="00E17FFE">
        <w:rPr>
          <w:sz w:val="28"/>
          <w:szCs w:val="28"/>
        </w:rPr>
        <w:lastRenderedPageBreak/>
        <w:t xml:space="preserve">ponderar todos aquellos elementos subjetivos que intervienen en la calificación del daño, sus consecuencias y en lo que efectivamente debe ser compensado; y la arbitrariedad que puede generarse al momento de fijar dicha reparación sin explicitar los elementos que conducen al juzgador a arribar a dicha conclusión. No obstante, existen factores para cuantificar la indemnización económica derivada del daño moral por violencia familiar, éstos son: i) el tipo de derecho o interés lesionado, </w:t>
      </w:r>
      <w:proofErr w:type="spellStart"/>
      <w:r w:rsidRPr="00E17FFE">
        <w:rPr>
          <w:sz w:val="28"/>
          <w:szCs w:val="28"/>
        </w:rPr>
        <w:t>ii</w:t>
      </w:r>
      <w:proofErr w:type="spellEnd"/>
      <w:r w:rsidRPr="00E17FFE">
        <w:rPr>
          <w:sz w:val="28"/>
          <w:szCs w:val="28"/>
        </w:rPr>
        <w:t xml:space="preserve">) el nivel de gravedad del daño, </w:t>
      </w:r>
      <w:proofErr w:type="spellStart"/>
      <w:r w:rsidRPr="00E17FFE">
        <w:rPr>
          <w:sz w:val="28"/>
          <w:szCs w:val="28"/>
        </w:rPr>
        <w:t>iii</w:t>
      </w:r>
      <w:proofErr w:type="spellEnd"/>
      <w:r w:rsidRPr="00E17FFE">
        <w:rPr>
          <w:sz w:val="28"/>
          <w:szCs w:val="28"/>
        </w:rPr>
        <w:t xml:space="preserve">) los gastos devengados o por devengar derivados del daño moral, </w:t>
      </w:r>
      <w:proofErr w:type="spellStart"/>
      <w:r w:rsidRPr="00E17FFE">
        <w:rPr>
          <w:sz w:val="28"/>
          <w:szCs w:val="28"/>
        </w:rPr>
        <w:t>iv</w:t>
      </w:r>
      <w:proofErr w:type="spellEnd"/>
      <w:r w:rsidRPr="00E17FFE">
        <w:rPr>
          <w:sz w:val="28"/>
          <w:szCs w:val="28"/>
        </w:rPr>
        <w:t xml:space="preserve">) el grado de responsabilidad del responsable, y v) la capacidad económica de este último. </w:t>
      </w:r>
    </w:p>
    <w:p w:rsidR="00E17FFE" w:rsidRPr="00E17FFE" w:rsidRDefault="00E17FFE" w:rsidP="00E17FFE">
      <w:pPr>
        <w:jc w:val="both"/>
        <w:rPr>
          <w:sz w:val="28"/>
          <w:szCs w:val="28"/>
        </w:rPr>
      </w:pPr>
    </w:p>
    <w:p w:rsidR="00E17FFE" w:rsidRPr="00E17FFE" w:rsidRDefault="00E17FFE" w:rsidP="00E17FFE">
      <w:pPr>
        <w:jc w:val="both"/>
        <w:rPr>
          <w:sz w:val="28"/>
          <w:szCs w:val="28"/>
        </w:rPr>
      </w:pPr>
      <w:r w:rsidRPr="00E17FFE">
        <w:rPr>
          <w:sz w:val="28"/>
          <w:szCs w:val="28"/>
        </w:rPr>
        <w:t xml:space="preserve">Amparo directo en revisión 5490/2016. 7 de marzo de 2018. Cinco votos de los </w:t>
      </w:r>
      <w:proofErr w:type="gramStart"/>
      <w:r w:rsidRPr="00E17FFE">
        <w:rPr>
          <w:sz w:val="28"/>
          <w:szCs w:val="28"/>
        </w:rPr>
        <w:t>Ministros</w:t>
      </w:r>
      <w:proofErr w:type="gramEnd"/>
      <w:r w:rsidRPr="00E17FFE">
        <w:rPr>
          <w:sz w:val="28"/>
          <w:szCs w:val="28"/>
        </w:rPr>
        <w:t xml:space="preserve"> Arturo Zaldívar Lelo de Larrea, José Ramón Cossío Díaz, quien reservó su derecho para formular voto aclaratorio, Jorge Mario Pardo Rebolledo, Alfredo Gutiérrez Ortiz Mena y Norma Lucía Piña Hernández, quien votó con el sentido, pero con salvedad en las consideraciones. Ponente: Arturo Zaldívar Lelo de Larrea. Secretaria: Ana María Ibarra Olguín.</w:t>
      </w:r>
    </w:p>
    <w:p w:rsidR="00E17FFE" w:rsidRPr="00E17FFE" w:rsidRDefault="00E17FFE" w:rsidP="00E17FFE">
      <w:pPr>
        <w:jc w:val="both"/>
        <w:rPr>
          <w:sz w:val="28"/>
          <w:szCs w:val="28"/>
        </w:rPr>
      </w:pPr>
    </w:p>
    <w:p w:rsidR="00E17FFE" w:rsidRDefault="00E17FFE" w:rsidP="00E17FFE">
      <w:pPr>
        <w:jc w:val="both"/>
        <w:rPr>
          <w:sz w:val="28"/>
          <w:szCs w:val="28"/>
        </w:rPr>
      </w:pPr>
      <w:r w:rsidRPr="00E17FFE">
        <w:rPr>
          <w:sz w:val="28"/>
          <w:szCs w:val="28"/>
        </w:rPr>
        <w:t>Esta tesis se publicó el viernes 08 de febrero de 2019 a las 10:10 horas en el Semanario Judicial de la Federación.</w:t>
      </w:r>
    </w:p>
    <w:p w:rsidR="0032647F" w:rsidRDefault="0032647F" w:rsidP="00E17FFE">
      <w:pPr>
        <w:jc w:val="both"/>
        <w:rPr>
          <w:sz w:val="28"/>
          <w:szCs w:val="28"/>
        </w:rPr>
      </w:pPr>
    </w:p>
    <w:p w:rsidR="0032647F" w:rsidRPr="00E17FFE" w:rsidRDefault="0032647F" w:rsidP="00E17FFE">
      <w:pPr>
        <w:jc w:val="both"/>
        <w:rPr>
          <w:sz w:val="28"/>
          <w:szCs w:val="28"/>
        </w:rPr>
      </w:pPr>
    </w:p>
    <w:p w:rsidR="00FA464B" w:rsidRPr="00FA464B" w:rsidRDefault="00FA464B" w:rsidP="00FA464B">
      <w:pPr>
        <w:jc w:val="both"/>
        <w:rPr>
          <w:sz w:val="28"/>
          <w:szCs w:val="28"/>
        </w:rPr>
      </w:pPr>
    </w:p>
    <w:p w:rsidR="00EA1D39" w:rsidRPr="00FA464B" w:rsidRDefault="00324FA3" w:rsidP="00FA464B">
      <w:pPr>
        <w:jc w:val="both"/>
        <w:rPr>
          <w:sz w:val="28"/>
          <w:szCs w:val="28"/>
        </w:rPr>
      </w:pPr>
    </w:p>
    <w:sectPr w:rsidR="00EA1D39" w:rsidRPr="00FA46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4B"/>
    <w:rsid w:val="000F3D99"/>
    <w:rsid w:val="002B7FB1"/>
    <w:rsid w:val="00324FA3"/>
    <w:rsid w:val="0032647F"/>
    <w:rsid w:val="0084323D"/>
    <w:rsid w:val="00BB47E5"/>
    <w:rsid w:val="00E17FFE"/>
    <w:rsid w:val="00E65535"/>
    <w:rsid w:val="00F70AA4"/>
    <w:rsid w:val="00FA4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1809"/>
  <w15:chartTrackingRefBased/>
  <w15:docId w15:val="{AADD6C08-7B0C-4409-8D0E-B9FD79ED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2290</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6</cp:revision>
  <dcterms:created xsi:type="dcterms:W3CDTF">2019-10-05T15:22:00Z</dcterms:created>
  <dcterms:modified xsi:type="dcterms:W3CDTF">2019-11-14T22:32:00Z</dcterms:modified>
</cp:coreProperties>
</file>